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6904"/>
        <w:gridCol w:w="4114"/>
      </w:tblGrid>
      <w:tr w:rsidR="003B0655" w:rsidRPr="00D11124" w:rsidTr="00F63E36">
        <w:tc>
          <w:tcPr>
            <w:tcW w:w="3133" w:type="pct"/>
            <w:shd w:val="clear" w:color="auto" w:fill="EEECE1" w:themeFill="background2"/>
          </w:tcPr>
          <w:p w:rsidR="003B0655" w:rsidRPr="00D11124" w:rsidRDefault="003B0655" w:rsidP="00F63E36">
            <w:pPr>
              <w:rPr>
                <w:b/>
                <w:sz w:val="28"/>
                <w:szCs w:val="28"/>
              </w:rPr>
            </w:pPr>
            <w:r w:rsidRPr="00D11124">
              <w:rPr>
                <w:b/>
                <w:sz w:val="28"/>
                <w:szCs w:val="28"/>
              </w:rPr>
              <w:t>KEEP 2014 Production Software Enhancement Requested</w:t>
            </w:r>
          </w:p>
        </w:tc>
        <w:tc>
          <w:tcPr>
            <w:tcW w:w="1867" w:type="pct"/>
            <w:shd w:val="clear" w:color="auto" w:fill="EEECE1" w:themeFill="background2"/>
          </w:tcPr>
          <w:p w:rsidR="003B0655" w:rsidRPr="00D11124" w:rsidRDefault="003B0655" w:rsidP="006E6B3D">
            <w:pPr>
              <w:jc w:val="center"/>
              <w:rPr>
                <w:b/>
                <w:sz w:val="28"/>
                <w:szCs w:val="28"/>
              </w:rPr>
            </w:pPr>
            <w:r w:rsidRPr="00D11124">
              <w:rPr>
                <w:b/>
                <w:sz w:val="28"/>
                <w:szCs w:val="28"/>
              </w:rPr>
              <w:t>Enhancements for 2014-2015</w:t>
            </w:r>
          </w:p>
        </w:tc>
      </w:tr>
      <w:tr w:rsidR="00D11124" w:rsidRPr="00822D3E" w:rsidTr="00D11124">
        <w:tc>
          <w:tcPr>
            <w:tcW w:w="5000" w:type="pct"/>
            <w:gridSpan w:val="2"/>
            <w:shd w:val="clear" w:color="auto" w:fill="auto"/>
          </w:tcPr>
          <w:p w:rsidR="00D11124" w:rsidRDefault="00D11124" w:rsidP="006E6B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124" w:rsidRPr="00822D3E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 Rating Sheet and Student Growth Measures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F63E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Student Grow</w:t>
            </w:r>
            <w:r w:rsidR="006E6B3D">
              <w:rPr>
                <w:sz w:val="20"/>
                <w:szCs w:val="20"/>
              </w:rPr>
              <w:t xml:space="preserve">th Measures Included in Summative </w:t>
            </w:r>
            <w:r w:rsidRPr="007A76D7">
              <w:rPr>
                <w:sz w:val="20"/>
                <w:szCs w:val="20"/>
              </w:rPr>
              <w:t>Rating Sheet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6E6B3D" w:rsidP="00F63E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Rating Included in Summative</w:t>
            </w:r>
            <w:r w:rsidR="003B0655" w:rsidRPr="007A76D7">
              <w:rPr>
                <w:sz w:val="20"/>
                <w:szCs w:val="20"/>
              </w:rPr>
              <w:t xml:space="preserve"> Rating Sheet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F63E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bypass the Summary Rating Sheet with a check-box that states “This Summary Rating Sheet is not being used by this district.”</w:t>
            </w:r>
          </w:p>
        </w:tc>
        <w:tc>
          <w:tcPr>
            <w:tcW w:w="1867" w:type="pct"/>
          </w:tcPr>
          <w:p w:rsidR="003B0655" w:rsidRPr="00822D3E" w:rsidRDefault="006E6B3D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 w:rsidRPr="00F63E36">
              <w:rPr>
                <w:b/>
                <w:sz w:val="20"/>
                <w:szCs w:val="20"/>
              </w:rPr>
              <w:t xml:space="preserve">Notification System </w:t>
            </w:r>
            <w:r>
              <w:rPr>
                <w:b/>
                <w:sz w:val="20"/>
                <w:szCs w:val="20"/>
              </w:rPr>
              <w:t>/ Work Queue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F63E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Email Notification System / Notification system for when actions are completed.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6E6B3D">
              <w:rPr>
                <w:sz w:val="20"/>
                <w:szCs w:val="20"/>
              </w:rPr>
              <w:t>, use of a work queue will resolve this issue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F63E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Notifications of Completions and Next Steps along the pathway through the Evaluation, Notifications of Completion of Actions and additional data entry for Summary Rating page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as a work queue</w:t>
            </w:r>
          </w:p>
        </w:tc>
      </w:tr>
      <w:tr w:rsidR="003B3E61" w:rsidRPr="00822D3E" w:rsidTr="00F90A90">
        <w:tc>
          <w:tcPr>
            <w:tcW w:w="3133" w:type="pct"/>
          </w:tcPr>
          <w:p w:rsidR="003B3E61" w:rsidRDefault="003B3E61" w:rsidP="003B3E6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the step in the process for Evaluations</w:t>
            </w:r>
          </w:p>
        </w:tc>
        <w:tc>
          <w:tcPr>
            <w:tcW w:w="1867" w:type="pct"/>
          </w:tcPr>
          <w:p w:rsidR="003B3E61" w:rsidRPr="00822D3E" w:rsidRDefault="003B3E61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as a work queue</w:t>
            </w:r>
          </w:p>
        </w:tc>
      </w:tr>
      <w:tr w:rsidR="00D11124" w:rsidRPr="00822D3E" w:rsidTr="00F90A90">
        <w:tc>
          <w:tcPr>
            <w:tcW w:w="3133" w:type="pct"/>
          </w:tcPr>
          <w:p w:rsidR="00D11124" w:rsidRPr="007A76D7" w:rsidRDefault="00D11124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The individuals who have not yet started an evaluation should still be listed, but not accessible, for the Evaluator to confirm their assignment before the Evaluatee logs-in.</w:t>
            </w:r>
          </w:p>
        </w:tc>
        <w:tc>
          <w:tcPr>
            <w:tcW w:w="1867" w:type="pct"/>
          </w:tcPr>
          <w:p w:rsidR="00D11124" w:rsidRPr="00822D3E" w:rsidRDefault="00D11124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Schools Z Numbers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Private School Access – Z numbers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6E6B3D">
              <w:rPr>
                <w:sz w:val="20"/>
                <w:szCs w:val="20"/>
              </w:rPr>
              <w:t>, needs to be remedied in EDCS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Role in KEEP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Non certified staff access – HR Role for Access to Evaluations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Informal Observations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Direct Access to Submit Informal Observations on the Informal Observations Webpage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Artifacts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Ability to Upload Artifacts throughout the Process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B3E61" w:rsidRPr="00822D3E" w:rsidTr="00F90A90">
        <w:tc>
          <w:tcPr>
            <w:tcW w:w="3133" w:type="pct"/>
          </w:tcPr>
          <w:p w:rsidR="003B3E61" w:rsidRDefault="003B3E61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of files for Artifacts -</w:t>
            </w:r>
          </w:p>
        </w:tc>
        <w:tc>
          <w:tcPr>
            <w:tcW w:w="1867" w:type="pct"/>
          </w:tcPr>
          <w:p w:rsidR="003B3E61" w:rsidRPr="00822D3E" w:rsidRDefault="003B3E61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up to 4 MB</w:t>
            </w:r>
          </w:p>
        </w:tc>
      </w:tr>
      <w:tr w:rsidR="003B3E61" w:rsidRPr="00822D3E" w:rsidTr="00F90A90">
        <w:tc>
          <w:tcPr>
            <w:tcW w:w="3133" w:type="pct"/>
          </w:tcPr>
          <w:p w:rsidR="003B3E61" w:rsidRPr="007A76D7" w:rsidRDefault="003B3E61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Uploading artifacts file extensions can be in capitals or lower case letters.</w:t>
            </w:r>
          </w:p>
        </w:tc>
        <w:tc>
          <w:tcPr>
            <w:tcW w:w="1867" w:type="pct"/>
          </w:tcPr>
          <w:p w:rsidR="003B3E61" w:rsidRPr="00822D3E" w:rsidRDefault="003B3E61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Rubric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Ability to make a new version of the Assessment Rubric throughout the Process – with up to (3?) versions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Functionality already exists</w:t>
            </w:r>
          </w:p>
        </w:tc>
      </w:tr>
      <w:tr w:rsidR="00D11124" w:rsidRPr="00F63E36" w:rsidTr="00D11124">
        <w:tc>
          <w:tcPr>
            <w:tcW w:w="5000" w:type="pct"/>
            <w:gridSpan w:val="2"/>
            <w:shd w:val="clear" w:color="auto" w:fill="EEECE1" w:themeFill="background2"/>
          </w:tcPr>
          <w:p w:rsidR="00D11124" w:rsidRPr="00F63E36" w:rsidRDefault="00D11124" w:rsidP="00D1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Goals </w:t>
            </w:r>
          </w:p>
        </w:tc>
      </w:tr>
      <w:tr w:rsidR="00BF54F3" w:rsidRPr="00822D3E" w:rsidTr="00F90A90">
        <w:tc>
          <w:tcPr>
            <w:tcW w:w="3133" w:type="pct"/>
          </w:tcPr>
          <w:p w:rsidR="00BF54F3" w:rsidRPr="007A76D7" w:rsidRDefault="00BF54F3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Ability to Edit Goals throughout the Process</w:t>
            </w:r>
          </w:p>
        </w:tc>
        <w:tc>
          <w:tcPr>
            <w:tcW w:w="1867" w:type="pct"/>
          </w:tcPr>
          <w:p w:rsidR="00BF54F3" w:rsidRPr="00822D3E" w:rsidRDefault="00BF54F3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F54F3" w:rsidRPr="00822D3E" w:rsidTr="00F90A90">
        <w:tc>
          <w:tcPr>
            <w:tcW w:w="3133" w:type="pct"/>
          </w:tcPr>
          <w:p w:rsidR="00BF54F3" w:rsidRPr="007A76D7" w:rsidRDefault="00BF54F3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Reorganize GOALS page for ease and clarity, add instructional and informational text to all pages for clarity and ease of use, text boxes are too limited</w:t>
            </w:r>
          </w:p>
        </w:tc>
        <w:tc>
          <w:tcPr>
            <w:tcW w:w="1867" w:type="pct"/>
          </w:tcPr>
          <w:p w:rsidR="00BF54F3" w:rsidRPr="00822D3E" w:rsidRDefault="00BF54F3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F54F3" w:rsidRPr="00822D3E" w:rsidTr="00F90A90">
        <w:tc>
          <w:tcPr>
            <w:tcW w:w="3133" w:type="pct"/>
          </w:tcPr>
          <w:p w:rsidR="00BF54F3" w:rsidRPr="007A76D7" w:rsidRDefault="00BF54F3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Teachers GOALS page will not all SAVE after Proposed Actions are put in – Allow SAVE at any time during the process.</w:t>
            </w:r>
          </w:p>
        </w:tc>
        <w:tc>
          <w:tcPr>
            <w:tcW w:w="1867" w:type="pct"/>
          </w:tcPr>
          <w:p w:rsidR="00BF54F3" w:rsidRPr="00822D3E" w:rsidRDefault="00BF54F3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2014-2015, Goals will Save from start of assessment rubric through end of Mid-Cycle Conference</w:t>
            </w:r>
          </w:p>
        </w:tc>
      </w:tr>
      <w:tr w:rsidR="002C432F" w:rsidRPr="00F63E36" w:rsidTr="002C432F">
        <w:tc>
          <w:tcPr>
            <w:tcW w:w="5000" w:type="pct"/>
            <w:gridSpan w:val="2"/>
            <w:shd w:val="clear" w:color="auto" w:fill="EEECE1" w:themeFill="background2"/>
          </w:tcPr>
          <w:p w:rsidR="002C432F" w:rsidRPr="00F63E36" w:rsidRDefault="002C432F" w:rsidP="002C4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Archives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Newly Completed Archived Evaluations are Immediately Available to Be Viewed in Full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Functionality already exists</w:t>
            </w:r>
          </w:p>
        </w:tc>
      </w:tr>
      <w:tr w:rsidR="003B3E61" w:rsidRPr="00822D3E" w:rsidTr="00F90A90">
        <w:tc>
          <w:tcPr>
            <w:tcW w:w="3133" w:type="pct"/>
          </w:tcPr>
          <w:p w:rsidR="003B3E61" w:rsidRPr="007A76D7" w:rsidRDefault="003B3E61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All Saved/Archived Evaluations are available to see – both 1 and 2 cycles at any time can be viewed in Archived – OR just have everyone do two 1 cycle processes for 2 cycle teachers.</w:t>
            </w:r>
          </w:p>
        </w:tc>
        <w:tc>
          <w:tcPr>
            <w:tcW w:w="1867" w:type="pct"/>
          </w:tcPr>
          <w:p w:rsidR="003B3E61" w:rsidRPr="00822D3E" w:rsidRDefault="003B3E61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Deleting 2 cycle process, in 2014-2015 will only have a one cycle process that will be used 2 times for 2 cycle educators</w:t>
            </w:r>
          </w:p>
        </w:tc>
      </w:tr>
      <w:tr w:rsidR="002C432F" w:rsidRPr="00F63E36" w:rsidTr="002C432F">
        <w:tc>
          <w:tcPr>
            <w:tcW w:w="5000" w:type="pct"/>
            <w:gridSpan w:val="2"/>
            <w:shd w:val="clear" w:color="auto" w:fill="EEECE1" w:themeFill="background2"/>
          </w:tcPr>
          <w:p w:rsidR="002C432F" w:rsidRPr="00F63E36" w:rsidRDefault="002C432F" w:rsidP="003B3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</w:t>
            </w:r>
            <w:r w:rsidR="00D11124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Error Messages are Rewritten for Clarity and Offering Resolutions/Directions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F63E36" w:rsidRPr="00822D3E" w:rsidTr="00F63E36">
        <w:tc>
          <w:tcPr>
            <w:tcW w:w="3133" w:type="pct"/>
          </w:tcPr>
          <w:p w:rsidR="00F63E36" w:rsidRPr="007A76D7" w:rsidRDefault="00F63E36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Browser Message Alert when USER is in the wrong browser</w:t>
            </w:r>
          </w:p>
        </w:tc>
        <w:tc>
          <w:tcPr>
            <w:tcW w:w="1867" w:type="pct"/>
          </w:tcPr>
          <w:p w:rsidR="00F63E36" w:rsidRPr="00822D3E" w:rsidRDefault="00F63E36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clearly stated on the Homepage</w:t>
            </w:r>
          </w:p>
        </w:tc>
      </w:tr>
      <w:tr w:rsidR="003B3E61" w:rsidRPr="00822D3E" w:rsidTr="00F90A90">
        <w:tc>
          <w:tcPr>
            <w:tcW w:w="3133" w:type="pct"/>
          </w:tcPr>
          <w:p w:rsidR="003B3E61" w:rsidRPr="007A76D7" w:rsidRDefault="003B3E61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to tell people they are in the wrong browser when in KEEP</w:t>
            </w:r>
          </w:p>
        </w:tc>
        <w:tc>
          <w:tcPr>
            <w:tcW w:w="1867" w:type="pct"/>
          </w:tcPr>
          <w:p w:rsidR="003B3E61" w:rsidRPr="00822D3E" w:rsidRDefault="003B3E61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clearly stated on the Homepage</w:t>
            </w:r>
          </w:p>
        </w:tc>
      </w:tr>
      <w:tr w:rsidR="00D11124" w:rsidRPr="00822D3E" w:rsidTr="00F90A90">
        <w:tc>
          <w:tcPr>
            <w:tcW w:w="3133" w:type="pct"/>
          </w:tcPr>
          <w:p w:rsidR="00D11124" w:rsidRPr="007A76D7" w:rsidRDefault="00D11124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an evaluation text entry to be cleared by TLA staff and Evaluators</w:t>
            </w:r>
          </w:p>
        </w:tc>
        <w:tc>
          <w:tcPr>
            <w:tcW w:w="1867" w:type="pct"/>
          </w:tcPr>
          <w:p w:rsidR="00D11124" w:rsidRDefault="00D11124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C432F" w:rsidRPr="00F63E36" w:rsidTr="002C432F">
        <w:tc>
          <w:tcPr>
            <w:tcW w:w="5000" w:type="pct"/>
            <w:gridSpan w:val="2"/>
            <w:shd w:val="clear" w:color="auto" w:fill="EEECE1" w:themeFill="background2"/>
          </w:tcPr>
          <w:p w:rsidR="002C432F" w:rsidRPr="00F63E36" w:rsidRDefault="002C432F" w:rsidP="002C4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Save and Print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EA4D51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4D51">
              <w:rPr>
                <w:sz w:val="20"/>
                <w:szCs w:val="20"/>
              </w:rPr>
              <w:t>SAVE and PRINT buttons are constantly available</w:t>
            </w:r>
          </w:p>
        </w:tc>
        <w:tc>
          <w:tcPr>
            <w:tcW w:w="1867" w:type="pct"/>
          </w:tcPr>
          <w:p w:rsidR="003B0655" w:rsidRPr="00EA4D51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KEEP Administration need to be able to see and be able to SAVE a spreadsheet of all districts and individuals within districts who are using the KEEP Repository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as a work queue</w:t>
            </w:r>
          </w:p>
        </w:tc>
      </w:tr>
      <w:tr w:rsidR="003B3E61" w:rsidRPr="00822D3E" w:rsidTr="00F90A90">
        <w:tc>
          <w:tcPr>
            <w:tcW w:w="3133" w:type="pct"/>
          </w:tcPr>
          <w:p w:rsidR="003B3E61" w:rsidRPr="007A76D7" w:rsidRDefault="003B3E61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lastRenderedPageBreak/>
              <w:t xml:space="preserve">Need notification of a successful </w:t>
            </w:r>
            <w:proofErr w:type="gramStart"/>
            <w:r w:rsidRPr="007A76D7">
              <w:rPr>
                <w:sz w:val="20"/>
                <w:szCs w:val="20"/>
              </w:rPr>
              <w:t>SAVE.</w:t>
            </w:r>
            <w:proofErr w:type="gramEnd"/>
          </w:p>
        </w:tc>
        <w:tc>
          <w:tcPr>
            <w:tcW w:w="1867" w:type="pct"/>
          </w:tcPr>
          <w:p w:rsidR="003B3E61" w:rsidRPr="00822D3E" w:rsidRDefault="003B3E61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C432F" w:rsidRPr="00F63E36" w:rsidTr="002C432F">
        <w:tc>
          <w:tcPr>
            <w:tcW w:w="5000" w:type="pct"/>
            <w:gridSpan w:val="2"/>
            <w:shd w:val="clear" w:color="auto" w:fill="EEECE1" w:themeFill="background2"/>
          </w:tcPr>
          <w:p w:rsidR="002C432F" w:rsidRPr="00F63E36" w:rsidRDefault="002C432F" w:rsidP="002C4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Text Boxes 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All KEEP text boxes need to be expandable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Scroll already exists</w:t>
            </w:r>
          </w:p>
        </w:tc>
      </w:tr>
      <w:tr w:rsidR="00BF54F3" w:rsidRPr="00822D3E" w:rsidTr="00F90A90">
        <w:tc>
          <w:tcPr>
            <w:tcW w:w="3133" w:type="pct"/>
          </w:tcPr>
          <w:p w:rsidR="00BF54F3" w:rsidRPr="007A76D7" w:rsidRDefault="00BF54F3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Allow cut and pasting of text only – not any attaching html code/other coding</w:t>
            </w:r>
          </w:p>
        </w:tc>
        <w:tc>
          <w:tcPr>
            <w:tcW w:w="1867" w:type="pct"/>
          </w:tcPr>
          <w:p w:rsidR="00BF54F3" w:rsidRPr="00822D3E" w:rsidRDefault="00BF54F3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code from text using Notepad or WORD</w:t>
            </w:r>
          </w:p>
        </w:tc>
      </w:tr>
      <w:tr w:rsidR="00BF54F3" w:rsidRPr="00F63E36" w:rsidTr="00BF54F3">
        <w:tc>
          <w:tcPr>
            <w:tcW w:w="5000" w:type="pct"/>
            <w:gridSpan w:val="2"/>
            <w:shd w:val="clear" w:color="auto" w:fill="EEECE1" w:themeFill="background2"/>
          </w:tcPr>
          <w:p w:rsidR="00BF54F3" w:rsidRPr="00F63E36" w:rsidRDefault="00BF54F3" w:rsidP="00BF54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EDCS </w:t>
            </w:r>
          </w:p>
        </w:tc>
      </w:tr>
      <w:tr w:rsidR="002C432F" w:rsidRPr="00822D3E" w:rsidTr="00F90A90">
        <w:tc>
          <w:tcPr>
            <w:tcW w:w="3133" w:type="pct"/>
          </w:tcPr>
          <w:p w:rsidR="002C432F" w:rsidRPr="007A76D7" w:rsidRDefault="002C432F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EDCS – Cooperatives can be assigned as evaluators or observers in any district that they serve</w:t>
            </w:r>
          </w:p>
        </w:tc>
        <w:tc>
          <w:tcPr>
            <w:tcW w:w="1867" w:type="pct"/>
          </w:tcPr>
          <w:p w:rsidR="002C432F" w:rsidRPr="00822D3E" w:rsidRDefault="002C432F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EDCS to KEEP – need to allow multiple teachers in multiple buildings with one district without compromising the evaluation data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one evaluation per teacher</w:t>
            </w:r>
          </w:p>
        </w:tc>
      </w:tr>
      <w:tr w:rsidR="00BF54F3" w:rsidRPr="00822D3E" w:rsidTr="00F90A90">
        <w:tc>
          <w:tcPr>
            <w:tcW w:w="3133" w:type="pct"/>
          </w:tcPr>
          <w:p w:rsidR="00BF54F3" w:rsidRDefault="00BF54F3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EDCS – The Submit to KEEP button is often confusing</w:t>
            </w:r>
          </w:p>
        </w:tc>
        <w:tc>
          <w:tcPr>
            <w:tcW w:w="1867" w:type="pct"/>
          </w:tcPr>
          <w:p w:rsidR="00BF54F3" w:rsidRPr="00822D3E" w:rsidRDefault="00BF54F3" w:rsidP="00F9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have additional text instructions</w:t>
            </w:r>
          </w:p>
        </w:tc>
      </w:tr>
      <w:tr w:rsidR="00BF54F3" w:rsidRPr="00F63E36" w:rsidTr="00F90A90">
        <w:tc>
          <w:tcPr>
            <w:tcW w:w="5000" w:type="pct"/>
            <w:gridSpan w:val="2"/>
            <w:shd w:val="clear" w:color="auto" w:fill="EEECE1" w:themeFill="background2"/>
          </w:tcPr>
          <w:p w:rsidR="00BF54F3" w:rsidRPr="00F63E36" w:rsidRDefault="00BF54F3" w:rsidP="00F90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Individuals who hold multiple roles (administrator and teacher) need to be able to have 2 evaluations going at the same time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F63E36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 xml:space="preserve">Individuals who hold multiple roles (administrator and teacher) need to be able to view all of their </w:t>
            </w:r>
            <w:proofErr w:type="spellStart"/>
            <w:r w:rsidRPr="007A76D7">
              <w:rPr>
                <w:sz w:val="20"/>
                <w:szCs w:val="20"/>
              </w:rPr>
              <w:t>evaluatees</w:t>
            </w:r>
            <w:proofErr w:type="spellEnd"/>
            <w:r w:rsidR="00F63E36">
              <w:rPr>
                <w:sz w:val="20"/>
                <w:szCs w:val="20"/>
              </w:rPr>
              <w:t xml:space="preserve"> </w:t>
            </w:r>
            <w:r w:rsidRPr="00F63E36">
              <w:rPr>
                <w:sz w:val="20"/>
                <w:szCs w:val="20"/>
              </w:rPr>
              <w:t>and do evaluation work within the KEEP Repository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B3E61" w:rsidRPr="00822D3E" w:rsidTr="00F63E36">
        <w:tc>
          <w:tcPr>
            <w:tcW w:w="3133" w:type="pct"/>
          </w:tcPr>
          <w:p w:rsidR="003B3E61" w:rsidRPr="00C44BE2" w:rsidRDefault="003B3E61" w:rsidP="00D11124">
            <w:pPr>
              <w:pStyle w:val="ListParagraph"/>
              <w:numPr>
                <w:ilvl w:val="0"/>
                <w:numId w:val="6"/>
              </w:numPr>
            </w:pPr>
            <w:r w:rsidRPr="00C44BE2">
              <w:t>Allow multiple Evaluators (up to 2)</w:t>
            </w:r>
          </w:p>
        </w:tc>
        <w:tc>
          <w:tcPr>
            <w:tcW w:w="1867" w:type="pct"/>
          </w:tcPr>
          <w:p w:rsidR="003B3E61" w:rsidRPr="00C44BE2" w:rsidRDefault="003B3E61" w:rsidP="003B3E61">
            <w:pPr>
              <w:jc w:val="center"/>
            </w:pPr>
            <w:r w:rsidRPr="00C44BE2">
              <w:t>No, only multiple Observers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 xml:space="preserve">Ability to have multiple tabs </w:t>
            </w:r>
            <w:proofErr w:type="gramStart"/>
            <w:r w:rsidRPr="007A76D7">
              <w:rPr>
                <w:sz w:val="20"/>
                <w:szCs w:val="20"/>
              </w:rPr>
              <w:t>open</w:t>
            </w:r>
            <w:proofErr w:type="gramEnd"/>
            <w:r w:rsidRPr="007A76D7">
              <w:rPr>
                <w:sz w:val="20"/>
                <w:szCs w:val="20"/>
              </w:rPr>
              <w:t xml:space="preserve"> without having data cross. Also clean up any areas where there is data crossing or potential for data to cross.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Add the Special Education staff Rubrics to the KEEP Repository.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B0655" w:rsidRPr="00822D3E" w:rsidTr="00F63E36">
        <w:tc>
          <w:tcPr>
            <w:tcW w:w="3133" w:type="pct"/>
          </w:tcPr>
          <w:p w:rsidR="003B0655" w:rsidRPr="007A76D7" w:rsidRDefault="003B0655" w:rsidP="00D111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6D7">
              <w:rPr>
                <w:sz w:val="20"/>
                <w:szCs w:val="20"/>
              </w:rPr>
              <w:t>The Ability for Evaluatees to access their evaluations when they are not in a district that participates in KEEP.</w:t>
            </w:r>
          </w:p>
        </w:tc>
        <w:tc>
          <w:tcPr>
            <w:tcW w:w="1867" w:type="pct"/>
          </w:tcPr>
          <w:p w:rsidR="003B0655" w:rsidRPr="00822D3E" w:rsidRDefault="003B0655" w:rsidP="006E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:rsidR="000F57D6" w:rsidRDefault="00E81E32">
      <w:pPr>
        <w:rPr>
          <w:sz w:val="20"/>
          <w:szCs w:val="20"/>
        </w:rPr>
      </w:pPr>
    </w:p>
    <w:p w:rsidR="00E81E32" w:rsidRDefault="00E81E32">
      <w:pPr>
        <w:rPr>
          <w:sz w:val="20"/>
          <w:szCs w:val="20"/>
        </w:rPr>
      </w:pPr>
    </w:p>
    <w:p w:rsidR="00E81E32" w:rsidRDefault="00E81E32" w:rsidP="00E81E32">
      <w:r>
        <w:t>KEEP Enhancements for 2014 – From KEEP Debriefing Meeting</w:t>
      </w:r>
    </w:p>
    <w:p w:rsidR="00E81E32" w:rsidRDefault="00E81E32" w:rsidP="00E81E32">
      <w:r>
        <w:t xml:space="preserve">In the last session of the KEEP Debriefing (February 19, 2014), participants were asked to prioritize data enhancements for the KEEP system. They were asked to indicate their priorities using a matrix provided by KSDE.  Individuals at each table prioritized the list, with the results below. In the right column of each table is </w:t>
      </w:r>
      <w:r>
        <w:t>the list of</w:t>
      </w:r>
      <w:r>
        <w:t xml:space="preserve"> enhancements to be completed in 2014. These are not all of the enhancements that will be completed. A complete list of enhancements is also posted on the KEEP webpages</w:t>
      </w:r>
      <w:r>
        <w:t xml:space="preserve"> as </w:t>
      </w:r>
      <w:r>
        <w:t>Kansas Educator Eva</w:t>
      </w:r>
      <w:r>
        <w:t xml:space="preserve">luation Protocol (KEEP) v 3.0.0 </w:t>
      </w:r>
      <w:r>
        <w:t>Annual Update Requirements</w:t>
      </w:r>
      <w:r>
        <w:t xml:space="preserve"> (AUR)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944"/>
        <w:gridCol w:w="4248"/>
      </w:tblGrid>
      <w:tr w:rsidR="00E81E32" w:rsidRPr="009C0BF4" w:rsidTr="009C0CEE">
        <w:tc>
          <w:tcPr>
            <w:tcW w:w="384" w:type="dxa"/>
          </w:tcPr>
          <w:p w:rsidR="00E81E32" w:rsidRPr="009C0BF4" w:rsidRDefault="00E81E32" w:rsidP="009C0CEE"/>
        </w:tc>
        <w:tc>
          <w:tcPr>
            <w:tcW w:w="4944" w:type="dxa"/>
          </w:tcPr>
          <w:p w:rsidR="00E81E32" w:rsidRPr="009C0BF4" w:rsidRDefault="00E81E32" w:rsidP="009C0CEE">
            <w:r>
              <w:t xml:space="preserve">Request from the Field 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>Enhancements for</w:t>
            </w:r>
            <w:r>
              <w:t xml:space="preserve"> 2014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1.</w:t>
            </w:r>
          </w:p>
        </w:tc>
        <w:tc>
          <w:tcPr>
            <w:tcW w:w="4944" w:type="dxa"/>
          </w:tcPr>
          <w:p w:rsidR="00E81E32" w:rsidRPr="009C0BF4" w:rsidRDefault="00E81E32" w:rsidP="009C0CEE">
            <w:r w:rsidRPr="009C0BF4">
              <w:t>Notification system  (8 tables)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 xml:space="preserve">Will be available as a Dashboard/Work Queue 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2.</w:t>
            </w:r>
          </w:p>
        </w:tc>
        <w:tc>
          <w:tcPr>
            <w:tcW w:w="4944" w:type="dxa"/>
          </w:tcPr>
          <w:p w:rsidR="00E81E32" w:rsidRPr="009C0BF4" w:rsidRDefault="00E81E32" w:rsidP="009C0CEE">
            <w:r w:rsidRPr="009C0BF4">
              <w:t>Ability to upload artifacts throughout the process (6 tables)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3.</w:t>
            </w:r>
          </w:p>
        </w:tc>
        <w:tc>
          <w:tcPr>
            <w:tcW w:w="4944" w:type="dxa"/>
          </w:tcPr>
          <w:p w:rsidR="00E81E32" w:rsidRPr="009C0BF4" w:rsidRDefault="00E81E32" w:rsidP="009C0CEE">
            <w:r w:rsidRPr="009C0BF4">
              <w:t>All saved/archived available to see (6 tables)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4.</w:t>
            </w:r>
          </w:p>
        </w:tc>
        <w:tc>
          <w:tcPr>
            <w:tcW w:w="4944" w:type="dxa"/>
          </w:tcPr>
          <w:p w:rsidR="00E81E32" w:rsidRPr="009C0BF4" w:rsidRDefault="00E81E32" w:rsidP="009C0CEE">
            <w:r w:rsidRPr="009C0BF4">
              <w:t>Ability to edit goals throughout the process (5 tables)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 xml:space="preserve">Yes, from end of Self-Assessment Rubric through to end of Mid Cycle Conference 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5.</w:t>
            </w:r>
          </w:p>
        </w:tc>
        <w:tc>
          <w:tcPr>
            <w:tcW w:w="4944" w:type="dxa"/>
          </w:tcPr>
          <w:p w:rsidR="00E81E32" w:rsidRPr="009C0BF4" w:rsidRDefault="00E81E32" w:rsidP="009C0CEE">
            <w:r w:rsidRPr="009C0BF4">
              <w:t>Teachers goals page allow save at any time (4 tables)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6.</w:t>
            </w:r>
          </w:p>
        </w:tc>
        <w:tc>
          <w:tcPr>
            <w:tcW w:w="4944" w:type="dxa"/>
          </w:tcPr>
          <w:p w:rsidR="00E81E32" w:rsidRPr="009C0BF4" w:rsidRDefault="00E81E32" w:rsidP="009C0CEE">
            <w:r w:rsidRPr="009C0BF4">
              <w:t>Display the step in process for evaluation (4 tables)</w:t>
            </w:r>
          </w:p>
        </w:tc>
        <w:tc>
          <w:tcPr>
            <w:tcW w:w="4248" w:type="dxa"/>
          </w:tcPr>
          <w:p w:rsidR="00E81E32" w:rsidRPr="009C0BF4" w:rsidRDefault="00E81E32" w:rsidP="009C0CEE">
            <w:r>
              <w:t>Yes</w:t>
            </w:r>
          </w:p>
        </w:tc>
      </w:tr>
    </w:tbl>
    <w:p w:rsidR="00E81E32" w:rsidRDefault="00E81E32" w:rsidP="00E81E32"/>
    <w:p w:rsidR="00E81E32" w:rsidRDefault="00E81E32" w:rsidP="00E81E32">
      <w:r>
        <w:t>The next set of recommendations was provided by 3 tables: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4889"/>
        <w:gridCol w:w="4265"/>
      </w:tblGrid>
      <w:tr w:rsidR="00E81E32" w:rsidRPr="009C0BF4" w:rsidTr="009C0CEE">
        <w:tc>
          <w:tcPr>
            <w:tcW w:w="422" w:type="dxa"/>
          </w:tcPr>
          <w:p w:rsidR="00E81E32" w:rsidRPr="009C0BF4" w:rsidRDefault="00E81E32" w:rsidP="009C0CEE"/>
        </w:tc>
        <w:tc>
          <w:tcPr>
            <w:tcW w:w="4889" w:type="dxa"/>
          </w:tcPr>
          <w:p w:rsidR="00E81E32" w:rsidRPr="009C0BF4" w:rsidRDefault="00E81E32" w:rsidP="009C0CEE">
            <w:r>
              <w:t xml:space="preserve">Request from the Field 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>Enhancements for 2014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1.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>Human resource access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2.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>Direct access to submit informal observations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3.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>Expandable boxes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 xml:space="preserve">Currently have as scroll down text boxes, </w:t>
            </w:r>
            <w:r>
              <w:lastRenderedPageBreak/>
              <w:t xml:space="preserve">prints complete boxes 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lastRenderedPageBreak/>
              <w:t>4.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 xml:space="preserve">Ability to have 2 evaluations at same time 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>No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5.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 xml:space="preserve">View all </w:t>
            </w:r>
            <w:proofErr w:type="spellStart"/>
            <w:r w:rsidRPr="009C0BF4">
              <w:t>evaluatees</w:t>
            </w:r>
            <w:proofErr w:type="spellEnd"/>
          </w:p>
        </w:tc>
        <w:tc>
          <w:tcPr>
            <w:tcW w:w="4265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6.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>Notification of successful save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7.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>Multiple evaluators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>No, only multiple Observers</w:t>
            </w:r>
          </w:p>
        </w:tc>
      </w:tr>
      <w:tr w:rsidR="00E81E32" w:rsidRPr="009C0BF4" w:rsidTr="009C0CEE">
        <w:tc>
          <w:tcPr>
            <w:tcW w:w="422" w:type="dxa"/>
          </w:tcPr>
          <w:p w:rsidR="00E81E32" w:rsidRPr="009C0BF4" w:rsidRDefault="00E81E32" w:rsidP="009C0CEE">
            <w:r w:rsidRPr="009C0BF4">
              <w:t>8.</w:t>
            </w:r>
          </w:p>
        </w:tc>
        <w:tc>
          <w:tcPr>
            <w:tcW w:w="4889" w:type="dxa"/>
          </w:tcPr>
          <w:p w:rsidR="00E81E32" w:rsidRPr="009C0BF4" w:rsidRDefault="00E81E32" w:rsidP="009C0CEE">
            <w:r w:rsidRPr="009C0BF4">
              <w:t>File size increase</w:t>
            </w:r>
          </w:p>
        </w:tc>
        <w:tc>
          <w:tcPr>
            <w:tcW w:w="4265" w:type="dxa"/>
          </w:tcPr>
          <w:p w:rsidR="00E81E32" w:rsidRPr="009C0BF4" w:rsidRDefault="00E81E32" w:rsidP="009C0CEE">
            <w:r>
              <w:t xml:space="preserve">Yes </w:t>
            </w:r>
          </w:p>
        </w:tc>
      </w:tr>
    </w:tbl>
    <w:p w:rsidR="00E81E32" w:rsidRDefault="00E81E32" w:rsidP="00E81E32"/>
    <w:p w:rsidR="00E81E32" w:rsidRDefault="00E81E32" w:rsidP="00E81E32">
      <w:r>
        <w:t>Two tables prioritized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892"/>
        <w:gridCol w:w="4300"/>
      </w:tblGrid>
      <w:tr w:rsidR="00E81E32" w:rsidRPr="009C0BF4" w:rsidTr="009C0CEE">
        <w:tc>
          <w:tcPr>
            <w:tcW w:w="384" w:type="dxa"/>
          </w:tcPr>
          <w:p w:rsidR="00E81E32" w:rsidRPr="009C0BF4" w:rsidRDefault="00E81E32" w:rsidP="009C0CEE"/>
        </w:tc>
        <w:tc>
          <w:tcPr>
            <w:tcW w:w="4892" w:type="dxa"/>
          </w:tcPr>
          <w:p w:rsidR="00E81E32" w:rsidRPr="009C0BF4" w:rsidRDefault="00E81E32" w:rsidP="009C0CEE">
            <w:r>
              <w:t xml:space="preserve">Request from the Field </w:t>
            </w:r>
          </w:p>
        </w:tc>
        <w:tc>
          <w:tcPr>
            <w:tcW w:w="4300" w:type="dxa"/>
          </w:tcPr>
          <w:p w:rsidR="00E81E32" w:rsidRPr="009C0BF4" w:rsidRDefault="00E81E32" w:rsidP="009C0CEE">
            <w:r>
              <w:t>Enhancements for 2014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1.</w:t>
            </w:r>
          </w:p>
        </w:tc>
        <w:tc>
          <w:tcPr>
            <w:tcW w:w="4892" w:type="dxa"/>
          </w:tcPr>
          <w:p w:rsidR="00E81E32" w:rsidRPr="009C0BF4" w:rsidRDefault="00E81E32" w:rsidP="009C0CEE">
            <w:r w:rsidRPr="009C0BF4">
              <w:t>Save and print buttons are constantly available</w:t>
            </w:r>
          </w:p>
        </w:tc>
        <w:tc>
          <w:tcPr>
            <w:tcW w:w="4300" w:type="dxa"/>
          </w:tcPr>
          <w:p w:rsidR="00E81E32" w:rsidRPr="009C0BF4" w:rsidRDefault="00E81E32" w:rsidP="009C0CEE">
            <w:r>
              <w:t xml:space="preserve">SAVE button is available when page is open to accept text. Print button is already always available. 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2.</w:t>
            </w:r>
          </w:p>
        </w:tc>
        <w:tc>
          <w:tcPr>
            <w:tcW w:w="4892" w:type="dxa"/>
          </w:tcPr>
          <w:p w:rsidR="00E81E32" w:rsidRPr="009C0BF4" w:rsidRDefault="00E81E32" w:rsidP="009C0CEE">
            <w:r w:rsidRPr="009C0BF4">
              <w:t>Cooperative can be assigned as evaluators or observers in any district that they serve</w:t>
            </w:r>
          </w:p>
        </w:tc>
        <w:tc>
          <w:tcPr>
            <w:tcW w:w="4300" w:type="dxa"/>
          </w:tcPr>
          <w:p w:rsidR="00E81E32" w:rsidRPr="009C0BF4" w:rsidRDefault="00E81E32" w:rsidP="009C0CEE">
            <w:r>
              <w:t xml:space="preserve">No. Cooperatives must decide if they will be the Evaluators or if their districts will be the Evaluators.  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3.</w:t>
            </w:r>
          </w:p>
        </w:tc>
        <w:tc>
          <w:tcPr>
            <w:tcW w:w="4892" w:type="dxa"/>
          </w:tcPr>
          <w:p w:rsidR="00E81E32" w:rsidRPr="009C0BF4" w:rsidRDefault="00E81E32" w:rsidP="009C0CEE">
            <w:r w:rsidRPr="009C0BF4">
              <w:t>Allow cut and pasting of text only</w:t>
            </w:r>
          </w:p>
        </w:tc>
        <w:tc>
          <w:tcPr>
            <w:tcW w:w="4300" w:type="dxa"/>
          </w:tcPr>
          <w:p w:rsidR="00E81E32" w:rsidRPr="009C0BF4" w:rsidRDefault="00E81E32" w:rsidP="009C0CEE">
            <w:r>
              <w:t xml:space="preserve">This already exists if cutting and pasting from Notepad. Cutting and pasting from WORD can continue with HTML attached to text. 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4.</w:t>
            </w:r>
          </w:p>
        </w:tc>
        <w:tc>
          <w:tcPr>
            <w:tcW w:w="4892" w:type="dxa"/>
          </w:tcPr>
          <w:p w:rsidR="00E81E32" w:rsidRPr="009C0BF4" w:rsidRDefault="00E81E32" w:rsidP="009C0CEE">
            <w:r w:rsidRPr="009C0BF4">
              <w:t>The ability of evaluates to access their evaluations when they are not in a district that participates in KEEP</w:t>
            </w:r>
          </w:p>
        </w:tc>
        <w:tc>
          <w:tcPr>
            <w:tcW w:w="4300" w:type="dxa"/>
          </w:tcPr>
          <w:p w:rsidR="00E81E32" w:rsidRPr="009C0BF4" w:rsidRDefault="00E81E32" w:rsidP="009C0CEE">
            <w:r>
              <w:t>Yes</w:t>
            </w:r>
          </w:p>
        </w:tc>
      </w:tr>
      <w:tr w:rsidR="00E81E32" w:rsidRPr="009C0BF4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5.</w:t>
            </w:r>
          </w:p>
        </w:tc>
        <w:tc>
          <w:tcPr>
            <w:tcW w:w="4892" w:type="dxa"/>
          </w:tcPr>
          <w:p w:rsidR="00E81E32" w:rsidRPr="009C0BF4" w:rsidRDefault="00E81E32" w:rsidP="009C0CEE">
            <w:r w:rsidRPr="009C0BF4">
              <w:t>The submit to KEEP button should be clarified</w:t>
            </w:r>
          </w:p>
        </w:tc>
        <w:tc>
          <w:tcPr>
            <w:tcW w:w="4300" w:type="dxa"/>
          </w:tcPr>
          <w:p w:rsidR="00E81E32" w:rsidRPr="009C0BF4" w:rsidRDefault="00E81E32" w:rsidP="009C0CEE">
            <w:r>
              <w:t>Yes</w:t>
            </w:r>
          </w:p>
        </w:tc>
      </w:tr>
    </w:tbl>
    <w:p w:rsidR="00E81E32" w:rsidRDefault="00E81E32" w:rsidP="00E81E32"/>
    <w:p w:rsidR="00E81E32" w:rsidRDefault="00E81E32" w:rsidP="00E81E32">
      <w:r>
        <w:t>All other suggestions on the list received priority votes by one table each except the following, which received no votes: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4"/>
        <w:gridCol w:w="4902"/>
        <w:gridCol w:w="4272"/>
      </w:tblGrid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1.</w:t>
            </w:r>
          </w:p>
        </w:tc>
        <w:tc>
          <w:tcPr>
            <w:tcW w:w="4902" w:type="dxa"/>
          </w:tcPr>
          <w:p w:rsidR="00E81E32" w:rsidRPr="00947398" w:rsidRDefault="00E81E32" w:rsidP="009C0CEE">
            <w:r w:rsidRPr="00947398">
              <w:t>Private school access</w:t>
            </w:r>
          </w:p>
        </w:tc>
        <w:tc>
          <w:tcPr>
            <w:tcW w:w="4272" w:type="dxa"/>
          </w:tcPr>
          <w:p w:rsidR="00E81E32" w:rsidRPr="00947398" w:rsidRDefault="00E81E32" w:rsidP="009C0CEE">
            <w:r>
              <w:t>No, must be done in EDCS. Currently working on.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2.</w:t>
            </w:r>
          </w:p>
        </w:tc>
        <w:tc>
          <w:tcPr>
            <w:tcW w:w="4902" w:type="dxa"/>
          </w:tcPr>
          <w:p w:rsidR="00E81E32" w:rsidRPr="00947398" w:rsidRDefault="00E81E32" w:rsidP="009C0CEE">
            <w:r w:rsidRPr="00947398">
              <w:t>Technical support staff ability to see a test environment</w:t>
            </w:r>
          </w:p>
        </w:tc>
        <w:tc>
          <w:tcPr>
            <w:tcW w:w="4272" w:type="dxa"/>
          </w:tcPr>
          <w:p w:rsidR="00E81E32" w:rsidRPr="00947398" w:rsidRDefault="00E81E32" w:rsidP="009C0CEE">
            <w:r>
              <w:t xml:space="preserve">Yes - Limited. 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3.</w:t>
            </w:r>
          </w:p>
        </w:tc>
        <w:tc>
          <w:tcPr>
            <w:tcW w:w="4902" w:type="dxa"/>
          </w:tcPr>
          <w:p w:rsidR="00E81E32" w:rsidRPr="00947398" w:rsidRDefault="00E81E32" w:rsidP="009C0CEE">
            <w:r w:rsidRPr="00947398">
              <w:t>Individuals who have not yet started an evaluation should be listed.</w:t>
            </w:r>
          </w:p>
        </w:tc>
        <w:tc>
          <w:tcPr>
            <w:tcW w:w="4272" w:type="dxa"/>
          </w:tcPr>
          <w:p w:rsidR="00E81E32" w:rsidRPr="00947398" w:rsidRDefault="00E81E32" w:rsidP="009C0CEE">
            <w:r>
              <w:t>Yes</w:t>
            </w:r>
          </w:p>
        </w:tc>
      </w:tr>
    </w:tbl>
    <w:p w:rsidR="00E81E32" w:rsidRDefault="00E81E32" w:rsidP="00E81E32"/>
    <w:p w:rsidR="00E81E32" w:rsidRDefault="00E81E32" w:rsidP="00E81E32">
      <w:r>
        <w:t>In addition, some tables provided 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874"/>
        <w:gridCol w:w="4318"/>
      </w:tblGrid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1.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Ability to save and edit as you go.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Yes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2.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Spell check.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?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3.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Submit multiple years of artifacts.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No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4.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Separate submit and save buttons.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?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5.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Artifacts open until summary submitted.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?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6.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Open all areas at once.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No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7.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Both the evaluator and evaluatee should be able to enter goals.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No, this is to assist with intentional communication between Evaluator and Evaluatee.</w:t>
            </w:r>
          </w:p>
        </w:tc>
      </w:tr>
      <w:tr w:rsidR="00E81E32" w:rsidRPr="00947398" w:rsidTr="009C0CEE">
        <w:tc>
          <w:tcPr>
            <w:tcW w:w="384" w:type="dxa"/>
          </w:tcPr>
          <w:p w:rsidR="00E81E32" w:rsidRPr="009C0BF4" w:rsidRDefault="00E81E32" w:rsidP="009C0CEE">
            <w:r w:rsidRPr="009C0BF4">
              <w:t>8.</w:t>
            </w:r>
          </w:p>
        </w:tc>
        <w:tc>
          <w:tcPr>
            <w:tcW w:w="4874" w:type="dxa"/>
          </w:tcPr>
          <w:p w:rsidR="00E81E32" w:rsidRPr="00947398" w:rsidRDefault="00E81E32" w:rsidP="009C0CEE">
            <w:r w:rsidRPr="00947398">
              <w:t>Users should be able to add informal evaluations in the repository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>Informal Observation can be submitted by Evaluators and Observers.</w:t>
            </w:r>
          </w:p>
        </w:tc>
      </w:tr>
      <w:tr w:rsidR="00E81E32" w:rsidTr="009C0CEE">
        <w:tc>
          <w:tcPr>
            <w:tcW w:w="384" w:type="dxa"/>
          </w:tcPr>
          <w:p w:rsidR="00E81E32" w:rsidRPr="009C0BF4" w:rsidRDefault="00E81E32" w:rsidP="009C0CEE">
            <w:r>
              <w:t>9</w:t>
            </w:r>
            <w:r w:rsidRPr="009C0BF4">
              <w:t>.</w:t>
            </w:r>
          </w:p>
        </w:tc>
        <w:tc>
          <w:tcPr>
            <w:tcW w:w="4874" w:type="dxa"/>
          </w:tcPr>
          <w:p w:rsidR="00E81E32" w:rsidRDefault="00E81E32" w:rsidP="009C0CEE">
            <w:r w:rsidRPr="00947398">
              <w:t>Users should be able to work in the summary page throughout the process.</w:t>
            </w:r>
          </w:p>
        </w:tc>
        <w:tc>
          <w:tcPr>
            <w:tcW w:w="4318" w:type="dxa"/>
          </w:tcPr>
          <w:p w:rsidR="00E81E32" w:rsidRPr="00947398" w:rsidRDefault="00E81E32" w:rsidP="009C0CEE">
            <w:r>
              <w:t xml:space="preserve">Evaluators can work on the Summary Rating page at the end of the Mid-Cycle Conference. </w:t>
            </w:r>
          </w:p>
        </w:tc>
      </w:tr>
    </w:tbl>
    <w:p w:rsidR="00E81E32" w:rsidRPr="00822D3E" w:rsidRDefault="00E81E32" w:rsidP="00E81E32">
      <w:pPr>
        <w:rPr>
          <w:sz w:val="20"/>
          <w:szCs w:val="20"/>
        </w:rPr>
      </w:pPr>
      <w:bookmarkStart w:id="0" w:name="_GoBack"/>
      <w:bookmarkEnd w:id="0"/>
    </w:p>
    <w:sectPr w:rsidR="00E81E32" w:rsidRPr="00822D3E" w:rsidSect="002C3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982"/>
    <w:multiLevelType w:val="hybridMultilevel"/>
    <w:tmpl w:val="541C47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586238"/>
    <w:multiLevelType w:val="hybridMultilevel"/>
    <w:tmpl w:val="FCA2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1E4"/>
    <w:multiLevelType w:val="hybridMultilevel"/>
    <w:tmpl w:val="A416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4DDC"/>
    <w:multiLevelType w:val="hybridMultilevel"/>
    <w:tmpl w:val="F0D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279"/>
    <w:multiLevelType w:val="hybridMultilevel"/>
    <w:tmpl w:val="AC8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5EDE"/>
    <w:multiLevelType w:val="hybridMultilevel"/>
    <w:tmpl w:val="202E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2DEE"/>
    <w:multiLevelType w:val="hybridMultilevel"/>
    <w:tmpl w:val="AC8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8466B"/>
    <w:multiLevelType w:val="hybridMultilevel"/>
    <w:tmpl w:val="82F09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51981"/>
    <w:multiLevelType w:val="hybridMultilevel"/>
    <w:tmpl w:val="770C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9B0"/>
    <w:multiLevelType w:val="hybridMultilevel"/>
    <w:tmpl w:val="F23EC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D1319"/>
    <w:multiLevelType w:val="hybridMultilevel"/>
    <w:tmpl w:val="8088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F1D"/>
    <w:multiLevelType w:val="hybridMultilevel"/>
    <w:tmpl w:val="A2EE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38FC"/>
    <w:multiLevelType w:val="hybridMultilevel"/>
    <w:tmpl w:val="7ACA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074D9"/>
    <w:multiLevelType w:val="hybridMultilevel"/>
    <w:tmpl w:val="D592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A5720"/>
    <w:multiLevelType w:val="hybridMultilevel"/>
    <w:tmpl w:val="0F06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14AE"/>
    <w:multiLevelType w:val="hybridMultilevel"/>
    <w:tmpl w:val="2718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1C4"/>
    <w:multiLevelType w:val="hybridMultilevel"/>
    <w:tmpl w:val="2EFA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684F"/>
    <w:multiLevelType w:val="hybridMultilevel"/>
    <w:tmpl w:val="0018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91861"/>
    <w:multiLevelType w:val="hybridMultilevel"/>
    <w:tmpl w:val="6888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F3190"/>
    <w:multiLevelType w:val="hybridMultilevel"/>
    <w:tmpl w:val="4E520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9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5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F"/>
    <w:rsid w:val="00082167"/>
    <w:rsid w:val="000A7763"/>
    <w:rsid w:val="00192D22"/>
    <w:rsid w:val="00241699"/>
    <w:rsid w:val="002C2F16"/>
    <w:rsid w:val="002C3716"/>
    <w:rsid w:val="002C432F"/>
    <w:rsid w:val="003108B6"/>
    <w:rsid w:val="00334BB9"/>
    <w:rsid w:val="003B0655"/>
    <w:rsid w:val="003B3E61"/>
    <w:rsid w:val="00420656"/>
    <w:rsid w:val="0045758D"/>
    <w:rsid w:val="004F62B9"/>
    <w:rsid w:val="005E081F"/>
    <w:rsid w:val="005E49F6"/>
    <w:rsid w:val="00625B44"/>
    <w:rsid w:val="006420E8"/>
    <w:rsid w:val="006E6B3D"/>
    <w:rsid w:val="00711F28"/>
    <w:rsid w:val="007229FA"/>
    <w:rsid w:val="007A76D7"/>
    <w:rsid w:val="007D504A"/>
    <w:rsid w:val="007E041F"/>
    <w:rsid w:val="00822D3E"/>
    <w:rsid w:val="008449F6"/>
    <w:rsid w:val="008C41E4"/>
    <w:rsid w:val="00954A5E"/>
    <w:rsid w:val="009E4C8B"/>
    <w:rsid w:val="00A13BAD"/>
    <w:rsid w:val="00A5021F"/>
    <w:rsid w:val="00AD1DC8"/>
    <w:rsid w:val="00AD25E6"/>
    <w:rsid w:val="00B14BCD"/>
    <w:rsid w:val="00BC2CF7"/>
    <w:rsid w:val="00BF54F3"/>
    <w:rsid w:val="00C007E4"/>
    <w:rsid w:val="00C553DB"/>
    <w:rsid w:val="00C9545A"/>
    <w:rsid w:val="00CF0DCE"/>
    <w:rsid w:val="00D07B7F"/>
    <w:rsid w:val="00D11124"/>
    <w:rsid w:val="00D2034E"/>
    <w:rsid w:val="00DA407A"/>
    <w:rsid w:val="00DF3BCD"/>
    <w:rsid w:val="00E80239"/>
    <w:rsid w:val="00E81E32"/>
    <w:rsid w:val="00EA4D51"/>
    <w:rsid w:val="00F32469"/>
    <w:rsid w:val="00F63E36"/>
    <w:rsid w:val="00FA3B54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9C97-3946-44FF-B751-4D112F6A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Kayeri Akweks</dc:creator>
  <cp:lastModifiedBy>Kayeri Akweks</cp:lastModifiedBy>
  <cp:revision>3</cp:revision>
  <cp:lastPrinted>2014-02-11T22:21:00Z</cp:lastPrinted>
  <dcterms:created xsi:type="dcterms:W3CDTF">2014-04-08T20:49:00Z</dcterms:created>
  <dcterms:modified xsi:type="dcterms:W3CDTF">2014-04-10T17:27:00Z</dcterms:modified>
</cp:coreProperties>
</file>